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xqszukz0od3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Інструкція із заповнення форми бюджету проєктів 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Бюджет проєкту є невід’ємною частиною проєктної заявки та відображає всі витрати, необхідні для реалізації активностей проєкту. Бюджет має бути сформований відповідно до плану реалізації проєкту та його логіки впровадження.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Файл бюджету (у форматі Excel) використовується для планування витрат за статтями, розрахунку загальної вартості проєкту.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Під час заповнення бюджету необхідно:</w:t>
      </w:r>
    </w:p>
    <w:p w:rsidR="00000000" w:rsidDel="00000000" w:rsidP="00000000" w:rsidRDefault="00000000" w:rsidRPr="00000000" w14:paraId="00000005">
      <w:pPr>
        <w:numPr>
          <w:ilvl w:val="0"/>
          <w:numId w:val="8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передбачити всі витрати, необхідні для реалізації активностей проєкту;</w:t>
      </w:r>
    </w:p>
    <w:p w:rsidR="00000000" w:rsidDel="00000000" w:rsidP="00000000" w:rsidRDefault="00000000" w:rsidRPr="00000000" w14:paraId="00000006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віднести витрати до відповідних бюджетних статей;</w:t>
      </w:r>
    </w:p>
    <w:p w:rsidR="00000000" w:rsidDel="00000000" w:rsidP="00000000" w:rsidRDefault="00000000" w:rsidRPr="00000000" w14:paraId="00000007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навести розрахунок за одиницею витрат (кількість × ставка);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перевірити правильність формул і сумування в Excel.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У колонці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«Всього»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зазначається загальна сума витрат за статтею.</w:t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w2u4egwly35t" w:id="1"/>
      <w:bookmarkEnd w:id="1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Період реалізації проєкту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У бюджеті також відображається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план використання коштів за місяцями реалізації проєкту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Прогноз витрат має відповідати: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календарному плану проєкту;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етапам реалізації активностей;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очікуваному графіку платежів.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Цей прогноз використовується для формування графіку фінансування проєкту.</w:t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g9r8v4g8nok5" w:id="2"/>
      <w:bookmarkEnd w:id="2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Основні статті бюджету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Бюджет проєктів, як правило, складається з таких категорій: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Заробітна плата команди проєкту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Гонорари залучених експертів та виконавців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Адміністративні витрати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Активності проєкту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  <w:u w:val="none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ʼІнші витрати - витрати, необхідні для впровадження проєктних заходів, які не відносяться до категорій оплати праці, гонорарів залучених виконавців, реалізації активностей проєкту  чи адміністративних витрат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Усі витрати повинні бути безпосередньо пов’язані з реалізацією активностей проєкту або забезпеченням роботи команди.</w:t>
      </w:r>
    </w:p>
    <w:p w:rsidR="00000000" w:rsidDel="00000000" w:rsidP="00000000" w:rsidRDefault="00000000" w:rsidRPr="00000000" w14:paraId="00000019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d8qs9y7sdp34" w:id="3"/>
      <w:bookmarkEnd w:id="3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1. Заробітна плата команди проєкту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У цій статті відображається оплата праці членів команди, які залучені до реалізації проєкту.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До таких ролей можуть належати: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керівник проєкту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координатор програми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комунікаційний менеджер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фінансовий менеджер / бухгалтер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Заробітна плата розраховується на основі: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ставки співробітника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відсотка зайнятості у проєкті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кількості місяців роботи в проєкті.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Якщо на момент подання заявки кандидат на посаду вже визначений, у рядку статті бюджету необхідно зазначити ПІБ відповідного члена команди.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Якщо на момент подання заявки кандидат на посаду ще не визначений, у бюджеті необхідно вказати назву та функціонал його ролі.</w:t>
      </w:r>
    </w:p>
    <w:p w:rsidR="00000000" w:rsidDel="00000000" w:rsidP="00000000" w:rsidRDefault="00000000" w:rsidRPr="00000000" w14:paraId="00000026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h2gs9hwvntdv" w:id="4"/>
      <w:bookmarkEnd w:id="4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2. Гонорари виконавців проєкту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У цій статті вказуються виплати фахівцям, які не є штатними співробітниками і залучаються до реалізації проєкту.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Оплата розраховується за: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годину роботи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день роботи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виконане завдання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У бюджеті необхідно зазначити: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роль виконавця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обсяг роботи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ставку оплати (вартість послуг за день / годину / місяць) та загальну вартість послуг</w:t>
      </w:r>
    </w:p>
    <w:p w:rsidR="00000000" w:rsidDel="00000000" w:rsidP="00000000" w:rsidRDefault="00000000" w:rsidRPr="00000000" w14:paraId="00000030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ql59ot1cggjq" w:id="5"/>
      <w:bookmarkEnd w:id="5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3. Адміністративні витрати</w:t>
      </w:r>
    </w:p>
    <w:p w:rsidR="00000000" w:rsidDel="00000000" w:rsidP="00000000" w:rsidRDefault="00000000" w:rsidRPr="00000000" w14:paraId="00000031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До адміністративних витрат належать витрати, необхідні для забезпечення операційної діяльності організації під час реалізації проєкту.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До них можуть входити: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оренда офісу (частка, що припадає на проєкт)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комунальні послуги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банківські комісії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канцелярські витрати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поштові та кур’єрські витрати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бухгалтерські послуги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послуги зв’язку.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Адміністративні витрати повинні бути пропорційними обсягу діяльності проєкту і складати до 7% загальної суми прямих витрат проєкту..</w:t>
      </w:r>
    </w:p>
    <w:p w:rsidR="00000000" w:rsidDel="00000000" w:rsidP="00000000" w:rsidRDefault="00000000" w:rsidRPr="00000000" w14:paraId="0000003B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9h9x1mzft5jt" w:id="6"/>
      <w:bookmarkEnd w:id="6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4. Активності проєкту</w:t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Ця стаття містить витрати, пов’язані безпосередньо з реалізацією програм.</w:t>
      </w:r>
    </w:p>
    <w:p w:rsidR="00000000" w:rsidDel="00000000" w:rsidP="00000000" w:rsidRDefault="00000000" w:rsidRPr="00000000" w14:paraId="0000003D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Для кожної активності рекомендується формувати окремий розрахунок витрат.</w:t>
      </w:r>
    </w:p>
    <w:p w:rsidR="00000000" w:rsidDel="00000000" w:rsidP="00000000" w:rsidRDefault="00000000" w:rsidRPr="00000000" w14:paraId="0000003E">
      <w:pPr>
        <w:pStyle w:val="Heading1"/>
        <w:keepNext w:val="0"/>
        <w:keepLines w:val="0"/>
        <w:spacing w:before="480" w:lineRule="auto"/>
        <w:jc w:val="both"/>
        <w:rPr>
          <w:rFonts w:ascii="Roboto" w:cs="Roboto" w:eastAsia="Roboto" w:hAnsi="Roboto"/>
          <w:b w:val="1"/>
          <w:bCs w:val="1"/>
          <w:sz w:val="20"/>
          <w:szCs w:val="20"/>
        </w:rPr>
      </w:pPr>
      <w:bookmarkStart w:colFirst="0" w:colLast="0" w:name="_oqz21sw6teaj" w:id="7"/>
      <w:bookmarkEnd w:id="7"/>
      <w:r w:rsidDel="00000000" w:rsidR="00000000" w:rsidRPr="00000000">
        <w:rPr>
          <w:rFonts w:ascii="Roboto" w:cs="Roboto" w:eastAsia="Roboto" w:hAnsi="Roboto"/>
          <w:b w:val="1"/>
          <w:bCs w:val="1"/>
          <w:sz w:val="20"/>
          <w:szCs w:val="20"/>
          <w:rtl w:val="0"/>
        </w:rPr>
        <w:t xml:space="preserve">Неприпустимі витрати</w:t>
      </w:r>
    </w:p>
    <w:p w:rsidR="00000000" w:rsidDel="00000000" w:rsidP="00000000" w:rsidRDefault="00000000" w:rsidRPr="00000000" w14:paraId="0000003F">
      <w:pPr>
        <w:spacing w:after="240" w:before="24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До витрат, які не можуть фінансуватися в межах проєктів, належать: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 w:before="24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витрати, не пов’язані з цілями проєкту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витрати, здійснені до початку або після завершення проєкту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подарунки та сувенірна продукція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алкоголь і тютюнові вироби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штрафи та пені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придбання нерухомості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витрати на політичну або релігійну діяльність</w:t>
      </w:r>
    </w:p>
    <w:p w:rsidR="00000000" w:rsidDel="00000000" w:rsidP="00000000" w:rsidRDefault="00000000" w:rsidRPr="00000000" w14:paraId="00000047">
      <w:pPr>
        <w:numPr>
          <w:ilvl w:val="0"/>
          <w:numId w:val="6"/>
        </w:numPr>
        <w:spacing w:after="240" w:before="0" w:beforeAutospacing="0" w:lineRule="auto"/>
        <w:ind w:left="720" w:hanging="36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витрати, що можуть створювати конфлікт інтересів.</w:t>
      </w:r>
    </w:p>
    <w:p w:rsidR="00000000" w:rsidDel="00000000" w:rsidP="00000000" w:rsidRDefault="00000000" w:rsidRPr="00000000" w14:paraId="00000048">
      <w:pPr>
        <w:spacing w:after="240" w:before="240" w:lineRule="auto"/>
        <w:ind w:left="0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Звертаємо також вашу увагу, що у кожному розділі (статті) бюджету дозволяється додавати додаткові рядки відповідно до потреб розрахунку витрат. У розрахунках кожної статті необхідно чітко зазначати одиницю виміру (дні, години, місяці, одиниці послуг або товарів), кількість, ставку та загальну суму витрат.</w:t>
        <w:br w:type="textWrapping"/>
      </w:r>
    </w:p>
    <w:p w:rsidR="00000000" w:rsidDel="00000000" w:rsidP="00000000" w:rsidRDefault="00000000" w:rsidRPr="00000000" w14:paraId="00000049">
      <w:pPr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